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2"/>
          <w:szCs w:val="22"/>
          <w:rtl w:val="0"/>
        </w:rPr>
        <w:t xml:space="preserve">Deconstruct Standards Protocol for Math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Based on models designed by Doug Reeves and Larry Ainsworth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Toronto Intermediate School Power Standards and Formative Assessment Protocols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Updated by Jeff Merithew, Jeff White, and Julie Thompson for Chaloner Middle School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Deconstructing Standards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Start with the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standard(s)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that you will teach this lesson.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Determine what part of the standard(s) is conceptual understanding.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Determine what part of the standard(s) is procedural skills and fluency.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Determine what part of the standard(s) is application.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Write the learning goals (what the student will be able to do).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Write the lesson framing question.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7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4"/>
        <w:gridCol w:w="5364"/>
        <w:tblGridChange w:id="0">
          <w:tblGrid>
            <w:gridCol w:w="5364"/>
            <w:gridCol w:w="5364"/>
          </w:tblGrid>
        </w:tblGridChange>
      </w:tblGrid>
      <w:tr>
        <w:trPr>
          <w:trHeight w:val="1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Standard(s):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Conceptual Understanding: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Procedural Skills and Fluency: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Application: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Lesson Framing Question: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Learning Goals: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student will be able to…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Proficiency Indicators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What would be an exemplar task to demonstrate the mathematics of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every item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for conceptual understanding? Procedural skills and fluency? Application? </w:t>
      </w:r>
    </w:p>
    <w:tbl>
      <w:tblPr>
        <w:tblStyle w:val="Table2"/>
        <w:bidi w:val="0"/>
        <w:tblW w:w="10368.000000000002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56"/>
        <w:gridCol w:w="3456"/>
        <w:gridCol w:w="3456"/>
        <w:tblGridChange w:id="0">
          <w:tblGrid>
            <w:gridCol w:w="3456"/>
            <w:gridCol w:w="3456"/>
            <w:gridCol w:w="345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Conceptual Understanding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Procedural Skills and Fluency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Application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are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general misconceptions or gaps for the standard or </w:t>
      </w:r>
      <w:r w:rsidDel="00000000" w:rsidR="00000000" w:rsidRPr="00000000">
        <w:rPr>
          <w:sz w:val="22"/>
          <w:szCs w:val="22"/>
          <w:rtl w:val="0"/>
        </w:rPr>
        <w:t xml:space="preserve">mistakes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that students often make.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Develop Lessons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What will be the introductory activity for this lesson?</w:t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What class discussion will occur in this lesson? </w:t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What will be the student practice in this lesson?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64" w:top="864" w:left="864" w:right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